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ABF3" w14:textId="77777777" w:rsidR="00732540" w:rsidRDefault="002236E6" w:rsidP="002236E6">
      <w:pPr>
        <w:pStyle w:val="Footer"/>
        <w:spacing w:after="120"/>
        <w:ind w:left="-1872"/>
        <w:rPr>
          <w:b/>
          <w:color w:val="221E1F"/>
          <w:spacing w:val="2"/>
          <w:w w:val="95"/>
          <w:sz w:val="24"/>
          <w:szCs w:val="24"/>
        </w:rPr>
      </w:pPr>
      <w:r>
        <w:rPr>
          <w:b/>
          <w:color w:val="221E1F"/>
          <w:spacing w:val="2"/>
          <w:w w:val="95"/>
          <w:sz w:val="24"/>
          <w:szCs w:val="24"/>
        </w:rPr>
        <w:t xml:space="preserve">                      </w:t>
      </w:r>
      <w:r>
        <w:rPr>
          <w:rFonts w:ascii="Helvetica" w:hAnsi="Helvetica" w:cs="Helvetica"/>
          <w:noProof/>
          <w:color w:val="0000FF"/>
          <w:sz w:val="20"/>
          <w:szCs w:val="20"/>
          <w:bdr w:val="none" w:sz="0" w:space="0" w:color="auto" w:frame="1"/>
        </w:rPr>
        <w:t xml:space="preserve"> </w:t>
      </w:r>
      <w:r>
        <w:rPr>
          <w:b/>
          <w:color w:val="221E1F"/>
          <w:spacing w:val="2"/>
          <w:w w:val="95"/>
          <w:sz w:val="24"/>
          <w:szCs w:val="24"/>
        </w:rPr>
        <w:t xml:space="preserve"> </w:t>
      </w:r>
      <w:r>
        <w:rPr>
          <w:b/>
          <w:color w:val="221E1F"/>
          <w:spacing w:val="2"/>
          <w:w w:val="95"/>
          <w:sz w:val="24"/>
          <w:szCs w:val="24"/>
        </w:rPr>
        <w:tab/>
        <w:t xml:space="preserve">                  </w:t>
      </w:r>
      <w:r>
        <w:rPr>
          <w:b/>
          <w:color w:val="221E1F"/>
          <w:spacing w:val="2"/>
          <w:w w:val="95"/>
          <w:sz w:val="40"/>
          <w:szCs w:val="40"/>
        </w:rPr>
        <w:t xml:space="preserve">   </w:t>
      </w:r>
      <w:r>
        <w:rPr>
          <w:rFonts w:ascii="Open Sans" w:hAnsi="Open Sans" w:cs="Open Sans"/>
          <w:noProof/>
          <w:sz w:val="21"/>
          <w:szCs w:val="21"/>
        </w:rPr>
        <w:drawing>
          <wp:inline distT="0" distB="0" distL="0" distR="0" wp14:anchorId="658D36C1" wp14:editId="757A7B54">
            <wp:extent cx="2247900" cy="612104"/>
            <wp:effectExtent l="0" t="0" r="0" b="0"/>
            <wp:docPr id="5" name="Picture 5" descr="California State University, Bakersfie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State University, Bakersfield">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70397" cy="618230"/>
                    </a:xfrm>
                    <a:prstGeom prst="rect">
                      <a:avLst/>
                    </a:prstGeom>
                  </pic:spPr>
                </pic:pic>
              </a:graphicData>
            </a:graphic>
          </wp:inline>
        </w:drawing>
      </w:r>
      <w:r>
        <w:rPr>
          <w:b/>
          <w:color w:val="221E1F"/>
          <w:spacing w:val="2"/>
          <w:w w:val="95"/>
          <w:sz w:val="40"/>
          <w:szCs w:val="40"/>
        </w:rPr>
        <w:t xml:space="preserve">   </w:t>
      </w:r>
      <w:r>
        <w:rPr>
          <w:b/>
          <w:sz w:val="40"/>
          <w:szCs w:val="40"/>
        </w:rPr>
        <w:t>Moving and Relocation Checklist</w:t>
      </w:r>
      <w:r>
        <w:rPr>
          <w:rFonts w:ascii="Helvetica" w:hAnsi="Helvetica" w:cs="Helvetica"/>
          <w:noProof/>
          <w:color w:val="0000FF"/>
          <w:sz w:val="20"/>
          <w:szCs w:val="20"/>
          <w:bdr w:val="none" w:sz="0" w:space="0" w:color="auto" w:frame="1"/>
        </w:rPr>
        <w:t xml:space="preserve"> </w:t>
      </w:r>
    </w:p>
    <w:p w14:paraId="641C2A18" w14:textId="77777777" w:rsidR="00732540" w:rsidRDefault="002236E6">
      <w:pPr>
        <w:spacing w:after="0"/>
      </w:pPr>
      <w:r>
        <w:rPr>
          <w:b/>
          <w:sz w:val="32"/>
          <w:szCs w:val="32"/>
        </w:rPr>
        <w:t>General Information</w:t>
      </w:r>
    </w:p>
    <w:p w14:paraId="2787C9FE" w14:textId="77777777" w:rsidR="00732540" w:rsidRDefault="00977203">
      <w:pPr>
        <w:spacing w:after="120"/>
        <w:jc w:val="both"/>
      </w:pPr>
      <w:sdt>
        <w:sdtPr>
          <w:rPr>
            <w:rFonts w:ascii="MS Gothic" w:eastAsia="MS Gothic" w:hAnsi="MS Gothic"/>
            <w:sz w:val="24"/>
            <w:szCs w:val="24"/>
          </w:rPr>
          <w:id w:val="-203476678"/>
          <w14:checkbox>
            <w14:checked w14:val="0"/>
            <w14:checkedState w14:val="2612" w14:font="MS Gothic"/>
            <w14:uncheckedState w14:val="2610" w14:font="MS Gothic"/>
          </w14:checkbox>
        </w:sdtPr>
        <w:sdtEndPr/>
        <w:sdtContent>
          <w:r w:rsidR="002236E6">
            <w:rPr>
              <w:rFonts w:ascii="MS Gothic" w:eastAsia="MS Gothic" w:hAnsi="MS Gothic" w:hint="eastAsia"/>
              <w:sz w:val="24"/>
              <w:szCs w:val="24"/>
            </w:rPr>
            <w:t>☐</w:t>
          </w:r>
        </w:sdtContent>
      </w:sdt>
      <w:r w:rsidR="002236E6">
        <w:t xml:space="preserve"> </w:t>
      </w:r>
      <w:r w:rsidR="002236E6">
        <w:tab/>
        <w:t xml:space="preserve">Keep track of all expenses related to your move.  </w:t>
      </w:r>
    </w:p>
    <w:p w14:paraId="1F5CD5A4" w14:textId="77777777" w:rsidR="00732540" w:rsidRDefault="00977203">
      <w:pPr>
        <w:spacing w:after="0"/>
        <w:ind w:left="720" w:hanging="720"/>
        <w:jc w:val="both"/>
      </w:pPr>
      <w:sdt>
        <w:sdtPr>
          <w:rPr>
            <w:rFonts w:eastAsia="MS Gothic"/>
          </w:rPr>
          <w:id w:val="-586069050"/>
          <w14:checkbox>
            <w14:checked w14:val="0"/>
            <w14:checkedState w14:val="2612" w14:font="MS Gothic"/>
            <w14:uncheckedState w14:val="2610" w14:font="MS Gothic"/>
          </w14:checkbox>
        </w:sdtPr>
        <w:sdtEndPr/>
        <w:sdtContent>
          <w:r w:rsidR="002236E6">
            <w:rPr>
              <w:rFonts w:ascii="MS Gothic" w:eastAsia="MS Gothic" w:hAnsi="MS Gothic" w:hint="eastAsia"/>
            </w:rPr>
            <w:t>☐</w:t>
          </w:r>
        </w:sdtContent>
      </w:sdt>
      <w:r w:rsidR="002236E6">
        <w:tab/>
        <w:t xml:space="preserve">An employee and spouse or domestic partner may be reimbursed for one house-hunting trip (round trip from former residence to campus) in addition to relocation travel expenses. No expenses related to other dependents or animals are allowable. </w:t>
      </w:r>
    </w:p>
    <w:p w14:paraId="477CA92D" w14:textId="77777777" w:rsidR="00732540" w:rsidRDefault="002236E6">
      <w:pPr>
        <w:spacing w:after="0"/>
        <w:ind w:left="1080"/>
        <w:jc w:val="both"/>
      </w:pPr>
      <w:r>
        <w:t>● Relocation travel expenses is defined as a one-way trip from the former residence to the general area of the new campus or primary job location.</w:t>
      </w:r>
    </w:p>
    <w:p w14:paraId="147310D2" w14:textId="77777777" w:rsidR="00732540" w:rsidRDefault="002236E6">
      <w:pPr>
        <w:spacing w:after="120"/>
        <w:ind w:left="1080"/>
        <w:jc w:val="both"/>
      </w:pPr>
      <w:r>
        <w:t xml:space="preserve">● Members of your household do not need to travel together to Bakersfield. However, only one one-way relocation trip per person and the cost of moving one vehicle will be reimbursed. </w:t>
      </w:r>
    </w:p>
    <w:p w14:paraId="1D590A3A" w14:textId="77777777" w:rsidR="00732540" w:rsidRDefault="00977203">
      <w:pPr>
        <w:spacing w:after="0"/>
        <w:ind w:left="720" w:hanging="720"/>
        <w:jc w:val="both"/>
      </w:pPr>
      <w:sdt>
        <w:sdtPr>
          <w:rPr>
            <w:rFonts w:eastAsia="MS Gothic"/>
          </w:rPr>
          <w:id w:val="-1846853739"/>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Mileage is reimbursed for the shortest, most direct route from the former residence to the Bakersfield area using </w:t>
      </w:r>
      <w:hyperlink r:id="rId9" w:history="1">
        <w:r w:rsidR="002236E6">
          <w:rPr>
            <w:rStyle w:val="Hyperlink"/>
            <w:b/>
          </w:rPr>
          <w:t>Google Maps</w:t>
        </w:r>
      </w:hyperlink>
      <w:r w:rsidR="002236E6">
        <w:t xml:space="preserve">.  </w:t>
      </w:r>
    </w:p>
    <w:p w14:paraId="7BEA26E9" w14:textId="77777777" w:rsidR="00732540" w:rsidRDefault="002236E6">
      <w:pPr>
        <w:spacing w:after="120"/>
        <w:ind w:left="1068"/>
        <w:jc w:val="both"/>
      </w:pPr>
      <w:r>
        <w:t xml:space="preserve">● If during your trip to your new home you make a stopover or take side trips, the expenses and mileage for the extra miles traveled will not be reimbursed. </w:t>
      </w:r>
    </w:p>
    <w:p w14:paraId="60E3C2A9" w14:textId="684B3BD0" w:rsidR="00732540" w:rsidRDefault="00977203" w:rsidP="00F30C39">
      <w:pPr>
        <w:spacing w:after="0" w:line="360" w:lineRule="auto"/>
        <w:ind w:left="720" w:hanging="720"/>
        <w:jc w:val="both"/>
      </w:pPr>
      <w:sdt>
        <w:sdtPr>
          <w:rPr>
            <w:rFonts w:eastAsia="MS Gothic"/>
          </w:rPr>
          <w:id w:val="912282478"/>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rPr>
          <w:rFonts w:eastAsia="MS Gothic"/>
        </w:rPr>
        <w:tab/>
      </w:r>
      <w:r w:rsidR="002236E6">
        <w:t>Actual lodging</w:t>
      </w:r>
      <w:r w:rsidR="00F30C39">
        <w:t xml:space="preserve"> </w:t>
      </w:r>
      <w:r w:rsidR="002236E6">
        <w:t>will be reimbursed</w:t>
      </w:r>
      <w:r w:rsidR="00F30C39">
        <w:t xml:space="preserve"> and the per diem rate for meals &amp; incidentals will be paid</w:t>
      </w:r>
      <w:r w:rsidR="002236E6">
        <w:t xml:space="preserve"> for every 24-hour period </w:t>
      </w:r>
      <w:r w:rsidR="002236E6" w:rsidRPr="00F30C39">
        <w:t xml:space="preserve">up to </w:t>
      </w:r>
      <w:r w:rsidR="002236E6">
        <w:t>these limits:</w:t>
      </w:r>
    </w:p>
    <w:tbl>
      <w:tblPr>
        <w:tblW w:w="7400" w:type="dxa"/>
        <w:jc w:val="center"/>
        <w:tblLook w:val="04A0" w:firstRow="1" w:lastRow="0" w:firstColumn="1" w:lastColumn="0" w:noHBand="0" w:noVBand="1"/>
      </w:tblPr>
      <w:tblGrid>
        <w:gridCol w:w="2020"/>
        <w:gridCol w:w="5380"/>
      </w:tblGrid>
      <w:tr w:rsidR="00F54540" w:rsidRPr="00F54540" w14:paraId="1375ECDC" w14:textId="77777777" w:rsidTr="00433587">
        <w:trPr>
          <w:trHeight w:val="300"/>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7352D" w14:textId="77777777" w:rsidR="00F54540" w:rsidRPr="00F54540" w:rsidRDefault="00F54540" w:rsidP="00F54540">
            <w:pPr>
              <w:spacing w:after="0" w:line="240" w:lineRule="auto"/>
              <w:jc w:val="center"/>
              <w:rPr>
                <w:rFonts w:ascii="Calibri" w:eastAsia="Times New Roman" w:hAnsi="Calibri" w:cs="Calibri"/>
                <w:color w:val="000000"/>
              </w:rPr>
            </w:pPr>
            <w:r w:rsidRPr="00F54540">
              <w:rPr>
                <w:rFonts w:ascii="Calibri" w:eastAsia="Times New Roman" w:hAnsi="Calibri" w:cs="Calibri"/>
                <w:color w:val="000000"/>
              </w:rPr>
              <w:t>Lodging</w:t>
            </w:r>
          </w:p>
        </w:tc>
        <w:tc>
          <w:tcPr>
            <w:tcW w:w="5380" w:type="dxa"/>
            <w:tcBorders>
              <w:top w:val="single" w:sz="8" w:space="0" w:color="auto"/>
              <w:left w:val="nil"/>
              <w:bottom w:val="single" w:sz="8" w:space="0" w:color="auto"/>
              <w:right w:val="single" w:sz="8" w:space="0" w:color="auto"/>
            </w:tcBorders>
            <w:shd w:val="clear" w:color="auto" w:fill="auto"/>
            <w:noWrap/>
            <w:vAlign w:val="center"/>
            <w:hideMark/>
          </w:tcPr>
          <w:p w14:paraId="1E3FDFB5" w14:textId="77777777" w:rsidR="00F54540" w:rsidRPr="00F54540" w:rsidRDefault="00F54540" w:rsidP="00F54540">
            <w:pPr>
              <w:spacing w:after="0" w:line="240" w:lineRule="auto"/>
              <w:jc w:val="center"/>
              <w:rPr>
                <w:rFonts w:ascii="Calibri" w:eastAsia="Times New Roman" w:hAnsi="Calibri" w:cs="Calibri"/>
                <w:color w:val="000000"/>
              </w:rPr>
            </w:pPr>
            <w:r w:rsidRPr="00F54540">
              <w:rPr>
                <w:rFonts w:ascii="Calibri" w:eastAsia="Times New Roman" w:hAnsi="Calibri" w:cs="Calibri"/>
                <w:color w:val="000000"/>
              </w:rPr>
              <w:t>$333.00 limit per night, excluding taxes</w:t>
            </w:r>
            <w:r w:rsidRPr="00F54540">
              <w:rPr>
                <w:rFonts w:ascii="Calibri" w:eastAsia="Times New Roman" w:hAnsi="Calibri" w:cs="Calibri"/>
                <w:b/>
                <w:bCs/>
                <w:color w:val="FF0000"/>
              </w:rPr>
              <w:t>*</w:t>
            </w:r>
          </w:p>
        </w:tc>
      </w:tr>
      <w:tr w:rsidR="00F54540" w:rsidRPr="00F54540" w14:paraId="01801FFE" w14:textId="77777777" w:rsidTr="00433587">
        <w:trPr>
          <w:trHeight w:val="300"/>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E0C800D" w14:textId="77777777" w:rsidR="00F54540" w:rsidRPr="00F54540" w:rsidRDefault="00F54540" w:rsidP="00F54540">
            <w:pPr>
              <w:spacing w:after="0" w:line="240" w:lineRule="auto"/>
              <w:jc w:val="center"/>
              <w:rPr>
                <w:rFonts w:ascii="Calibri" w:eastAsia="Times New Roman" w:hAnsi="Calibri" w:cs="Calibri"/>
                <w:color w:val="000000"/>
              </w:rPr>
            </w:pPr>
            <w:r w:rsidRPr="00F54540">
              <w:rPr>
                <w:rFonts w:ascii="Calibri" w:eastAsia="Times New Roman" w:hAnsi="Calibri" w:cs="Calibri"/>
                <w:color w:val="000000"/>
              </w:rPr>
              <w:t>Meals &amp; Incidentals</w:t>
            </w:r>
          </w:p>
        </w:tc>
        <w:tc>
          <w:tcPr>
            <w:tcW w:w="5380" w:type="dxa"/>
            <w:tcBorders>
              <w:top w:val="nil"/>
              <w:left w:val="nil"/>
              <w:bottom w:val="single" w:sz="8" w:space="0" w:color="auto"/>
              <w:right w:val="single" w:sz="8" w:space="0" w:color="auto"/>
            </w:tcBorders>
            <w:shd w:val="clear" w:color="auto" w:fill="auto"/>
            <w:noWrap/>
            <w:vAlign w:val="center"/>
            <w:hideMark/>
          </w:tcPr>
          <w:p w14:paraId="30993B2E" w14:textId="77777777" w:rsidR="00F54540" w:rsidRPr="00F54540" w:rsidRDefault="00F54540" w:rsidP="00F54540">
            <w:pPr>
              <w:spacing w:after="0" w:line="240" w:lineRule="auto"/>
              <w:jc w:val="center"/>
              <w:rPr>
                <w:rFonts w:ascii="Calibri" w:eastAsia="Times New Roman" w:hAnsi="Calibri" w:cs="Calibri"/>
                <w:color w:val="000000"/>
              </w:rPr>
            </w:pPr>
            <w:r w:rsidRPr="00F54540">
              <w:rPr>
                <w:rFonts w:ascii="Calibri" w:eastAsia="Times New Roman" w:hAnsi="Calibri" w:cs="Calibri"/>
                <w:color w:val="000000"/>
              </w:rPr>
              <w:t>$59.00 limit per person, per day (2 people maximum)</w:t>
            </w:r>
          </w:p>
        </w:tc>
      </w:tr>
    </w:tbl>
    <w:p w14:paraId="79563B98" w14:textId="77777777" w:rsidR="00732540" w:rsidRDefault="002236E6" w:rsidP="002236E6">
      <w:pPr>
        <w:tabs>
          <w:tab w:val="left" w:pos="9840"/>
        </w:tabs>
        <w:spacing w:before="120" w:after="0" w:line="276" w:lineRule="auto"/>
        <w:ind w:firstLine="720"/>
        <w:jc w:val="both"/>
      </w:pPr>
      <w:r>
        <w:t xml:space="preserve">       ● The maximum tip allowable by the CSU is 20%.</w:t>
      </w:r>
      <w:r>
        <w:tab/>
      </w:r>
    </w:p>
    <w:p w14:paraId="7C392449" w14:textId="77777777" w:rsidR="00732540" w:rsidRDefault="002236E6">
      <w:pPr>
        <w:spacing w:after="0" w:line="276" w:lineRule="auto"/>
        <w:ind w:left="720"/>
        <w:jc w:val="both"/>
      </w:pPr>
      <w:r>
        <w:t xml:space="preserve">       </w:t>
      </w:r>
      <w:bookmarkStart w:id="0" w:name="_Hlk526620802"/>
      <w:r>
        <w:t>●</w:t>
      </w:r>
      <w:bookmarkEnd w:id="0"/>
      <w:r>
        <w:t xml:space="preserve"> This reimbursement ends upon arrival in the Bakersfield area.</w:t>
      </w:r>
    </w:p>
    <w:p w14:paraId="3731FE47" w14:textId="2576B28A" w:rsidR="00732540" w:rsidRDefault="002236E6">
      <w:pPr>
        <w:spacing w:after="120" w:line="276" w:lineRule="auto"/>
        <w:ind w:left="720"/>
        <w:jc w:val="both"/>
      </w:pPr>
      <w:r>
        <w:rPr>
          <w:b/>
          <w:color w:val="FF0000"/>
        </w:rPr>
        <w:t>*</w:t>
      </w:r>
      <w:r>
        <w:t>The CSU lodging limit is $</w:t>
      </w:r>
      <w:r w:rsidR="00F54540">
        <w:t>333</w:t>
      </w:r>
      <w:r>
        <w:t>.00 per night excluding tax</w:t>
      </w:r>
      <w:r w:rsidR="00F30C39">
        <w:t xml:space="preserve"> (</w:t>
      </w:r>
      <w:r>
        <w:t xml:space="preserve">we </w:t>
      </w:r>
      <w:r w:rsidR="00F30C39">
        <w:t>also</w:t>
      </w:r>
      <w:r>
        <w:t xml:space="preserve"> reimburse the taxes paid</w:t>
      </w:r>
      <w:r w:rsidR="00F30C39">
        <w:t>).</w:t>
      </w:r>
    </w:p>
    <w:p w14:paraId="13F4CA14" w14:textId="77777777" w:rsidR="00732540" w:rsidRDefault="00977203">
      <w:pPr>
        <w:spacing w:after="60" w:line="276" w:lineRule="auto"/>
        <w:ind w:left="720" w:hanging="720"/>
        <w:jc w:val="both"/>
      </w:pPr>
      <w:sdt>
        <w:sdtPr>
          <w:rPr>
            <w:rFonts w:eastAsia="MS Gothic"/>
          </w:rPr>
          <w:id w:val="339279233"/>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All expenses must be ordinary, reasonable, not extravagant, necessary, and allowable.  (If you want to verify if an expense that isn’t included here is allowable, contact Payment Services.)</w:t>
      </w:r>
    </w:p>
    <w:p w14:paraId="30F92467" w14:textId="77777777" w:rsidR="00732540" w:rsidRDefault="002236E6">
      <w:pPr>
        <w:pStyle w:val="ListParagraph"/>
        <w:spacing w:after="0"/>
        <w:jc w:val="both"/>
        <w:rPr>
          <w:sz w:val="28"/>
          <w:szCs w:val="28"/>
          <w:u w:val="single"/>
        </w:rPr>
      </w:pPr>
      <w:r>
        <w:rPr>
          <w:b/>
          <w:sz w:val="28"/>
          <w:szCs w:val="28"/>
          <w:u w:val="single"/>
        </w:rPr>
        <w:t>Examples of allowable expenses (not a complete list):</w:t>
      </w:r>
    </w:p>
    <w:p w14:paraId="60F653AA" w14:textId="77777777" w:rsidR="00732540" w:rsidRDefault="002236E6">
      <w:pPr>
        <w:spacing w:after="0"/>
        <w:jc w:val="both"/>
      </w:pPr>
      <w:r>
        <w:tab/>
        <w:t xml:space="preserve">       ● Boxes and packing material</w:t>
      </w:r>
    </w:p>
    <w:p w14:paraId="64F48F33" w14:textId="77777777" w:rsidR="00732540" w:rsidRDefault="002236E6">
      <w:pPr>
        <w:spacing w:after="0"/>
        <w:ind w:firstLine="720"/>
        <w:jc w:val="both"/>
      </w:pPr>
      <w:r>
        <w:t xml:space="preserve">       ● Penalty for breaking a lease early</w:t>
      </w:r>
    </w:p>
    <w:p w14:paraId="15268DB1" w14:textId="77777777" w:rsidR="00732540" w:rsidRDefault="002236E6">
      <w:pPr>
        <w:spacing w:after="0"/>
        <w:ind w:left="720"/>
        <w:jc w:val="both"/>
      </w:pPr>
      <w:r>
        <w:t xml:space="preserve">       ● Mileage using the most direct route</w:t>
      </w:r>
    </w:p>
    <w:p w14:paraId="031683F0" w14:textId="216A8DFD" w:rsidR="00732540" w:rsidRDefault="002236E6" w:rsidP="00F30C39">
      <w:pPr>
        <w:tabs>
          <w:tab w:val="left" w:pos="720"/>
          <w:tab w:val="left" w:pos="1440"/>
          <w:tab w:val="left" w:pos="2160"/>
          <w:tab w:val="left" w:pos="2880"/>
          <w:tab w:val="left" w:pos="3600"/>
          <w:tab w:val="left" w:pos="10035"/>
        </w:tabs>
        <w:spacing w:after="0"/>
        <w:jc w:val="both"/>
      </w:pPr>
      <w:r>
        <w:tab/>
        <w:t xml:space="preserve">       ● Rental moving truck &amp; gasoline</w:t>
      </w:r>
      <w:r w:rsidR="00F30C39">
        <w:tab/>
      </w:r>
    </w:p>
    <w:p w14:paraId="11D0505A" w14:textId="77777777" w:rsidR="00732540" w:rsidRDefault="002236E6">
      <w:pPr>
        <w:spacing w:after="0"/>
        <w:jc w:val="both"/>
      </w:pPr>
      <w:r>
        <w:tab/>
        <w:t xml:space="preserve">       ● Moving company</w:t>
      </w:r>
    </w:p>
    <w:p w14:paraId="7FA74F15" w14:textId="77777777" w:rsidR="00732540" w:rsidRDefault="002236E6">
      <w:pPr>
        <w:spacing w:after="0"/>
        <w:jc w:val="both"/>
      </w:pPr>
      <w:r>
        <w:tab/>
        <w:t xml:space="preserve">       ● Labor hired to load and unload household goods</w:t>
      </w:r>
    </w:p>
    <w:p w14:paraId="5091C6EC" w14:textId="77777777" w:rsidR="00732540" w:rsidRDefault="002236E6">
      <w:pPr>
        <w:spacing w:after="0"/>
        <w:jc w:val="both"/>
      </w:pPr>
      <w:r>
        <w:tab/>
        <w:t xml:space="preserve">       ● Lodging en route to Bakersfield</w:t>
      </w:r>
    </w:p>
    <w:p w14:paraId="038933F7" w14:textId="77777777" w:rsidR="00732540" w:rsidRDefault="002236E6">
      <w:pPr>
        <w:spacing w:after="120"/>
        <w:jc w:val="both"/>
      </w:pPr>
      <w:r>
        <w:tab/>
        <w:t xml:space="preserve">       ● Storage unit (up to 60 days)</w:t>
      </w:r>
    </w:p>
    <w:p w14:paraId="419B313E" w14:textId="77777777" w:rsidR="00732540" w:rsidRDefault="002236E6">
      <w:pPr>
        <w:pStyle w:val="ListParagraph"/>
        <w:spacing w:after="0"/>
        <w:jc w:val="both"/>
        <w:rPr>
          <w:b/>
          <w:sz w:val="28"/>
          <w:szCs w:val="28"/>
          <w:u w:val="single"/>
        </w:rPr>
      </w:pPr>
      <w:r>
        <w:rPr>
          <w:b/>
          <w:sz w:val="28"/>
          <w:szCs w:val="28"/>
          <w:u w:val="single"/>
        </w:rPr>
        <w:t xml:space="preserve">Examples of unallowable expenses (not a complete list): </w:t>
      </w:r>
    </w:p>
    <w:p w14:paraId="79BCFF4C" w14:textId="77777777" w:rsidR="00732540" w:rsidRDefault="002236E6">
      <w:pPr>
        <w:spacing w:after="0"/>
        <w:ind w:left="1008"/>
        <w:jc w:val="both"/>
      </w:pPr>
      <w:r>
        <w:t xml:space="preserve">  ● Storage units after 60 days  </w:t>
      </w:r>
      <w:r>
        <w:tab/>
      </w:r>
      <w:r>
        <w:tab/>
        <w:t>● Tips over 20%</w:t>
      </w:r>
    </w:p>
    <w:p w14:paraId="629AF667" w14:textId="77777777" w:rsidR="00732540" w:rsidRDefault="002236E6">
      <w:pPr>
        <w:spacing w:after="0"/>
        <w:ind w:left="1008"/>
        <w:jc w:val="both"/>
      </w:pPr>
      <w:r>
        <w:t xml:space="preserve">  ● Alcohol</w:t>
      </w:r>
      <w:r>
        <w:tab/>
      </w:r>
      <w:r>
        <w:tab/>
      </w:r>
      <w:r>
        <w:tab/>
      </w:r>
      <w:r>
        <w:tab/>
      </w:r>
      <w:r>
        <w:tab/>
        <w:t>● Lodging after arrival in Bakersfield</w:t>
      </w:r>
    </w:p>
    <w:p w14:paraId="6DEBA78E" w14:textId="77777777" w:rsidR="00732540" w:rsidRDefault="002236E6">
      <w:pPr>
        <w:spacing w:after="0"/>
        <w:ind w:left="1008"/>
        <w:jc w:val="both"/>
      </w:pPr>
      <w:r>
        <w:t xml:space="preserve">  ● Meals after arrival in Bakersfield</w:t>
      </w:r>
      <w:r>
        <w:tab/>
      </w:r>
      <w:r>
        <w:tab/>
        <w:t>● Mileage after arrival in Bakersfield</w:t>
      </w:r>
    </w:p>
    <w:p w14:paraId="0487E023" w14:textId="630F8912" w:rsidR="00732540" w:rsidRDefault="002236E6">
      <w:pPr>
        <w:spacing w:after="0"/>
        <w:ind w:left="1008"/>
        <w:jc w:val="both"/>
      </w:pPr>
      <w:r>
        <w:t xml:space="preserve"> </w:t>
      </w:r>
      <w:r w:rsidR="00F30C39">
        <w:t xml:space="preserve"> ● Purchase of trailers</w:t>
      </w:r>
      <w:r w:rsidR="00F30C39">
        <w:tab/>
      </w:r>
      <w:r w:rsidR="00F30C39">
        <w:tab/>
      </w:r>
      <w:r w:rsidR="00F30C39">
        <w:tab/>
        <w:t>● Purchase of appliances and furniture</w:t>
      </w:r>
    </w:p>
    <w:p w14:paraId="6BAE4168" w14:textId="77777777" w:rsidR="00732540" w:rsidRDefault="00732540">
      <w:pPr>
        <w:spacing w:after="0"/>
        <w:jc w:val="both"/>
      </w:pPr>
    </w:p>
    <w:p w14:paraId="17101072" w14:textId="77777777" w:rsidR="00732540" w:rsidRDefault="00732540">
      <w:pPr>
        <w:spacing w:after="0"/>
        <w:ind w:left="1008"/>
        <w:jc w:val="both"/>
      </w:pPr>
    </w:p>
    <w:p w14:paraId="5E539AFC" w14:textId="77777777" w:rsidR="00732540" w:rsidRDefault="002236E6">
      <w:pPr>
        <w:spacing w:before="160" w:after="0"/>
        <w:jc w:val="both"/>
        <w:rPr>
          <w:b/>
          <w:sz w:val="32"/>
          <w:szCs w:val="32"/>
        </w:rPr>
      </w:pPr>
      <w:r>
        <w:rPr>
          <w:b/>
          <w:sz w:val="32"/>
          <w:szCs w:val="32"/>
        </w:rPr>
        <w:lastRenderedPageBreak/>
        <w:t>Required Backup for a Moving and Relocation Claim</w:t>
      </w:r>
    </w:p>
    <w:p w14:paraId="486DB0E1" w14:textId="5C606E56" w:rsidR="00732540" w:rsidRDefault="00977203">
      <w:pPr>
        <w:spacing w:after="0"/>
        <w:ind w:left="720" w:hanging="720"/>
        <w:jc w:val="both"/>
      </w:pPr>
      <w:sdt>
        <w:sdtPr>
          <w:rPr>
            <w:rFonts w:eastAsia="MS Gothic"/>
          </w:rPr>
          <w:id w:val="-1165230056"/>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Original, </w:t>
      </w:r>
      <w:r w:rsidR="002236E6">
        <w:rPr>
          <w:b/>
          <w:u w:val="single"/>
        </w:rPr>
        <w:t>detailed</w:t>
      </w:r>
      <w:r w:rsidR="002236E6">
        <w:t xml:space="preserve"> receipts for all expenses $</w:t>
      </w:r>
      <w:r w:rsidR="00F30C39">
        <w:t>7</w:t>
      </w:r>
      <w:r w:rsidR="002236E6">
        <w:t xml:space="preserve">5.00 and over. </w:t>
      </w:r>
    </w:p>
    <w:p w14:paraId="332780D4" w14:textId="77777777" w:rsidR="00732540" w:rsidRDefault="002236E6">
      <w:pPr>
        <w:spacing w:after="0"/>
        <w:ind w:left="720" w:hanging="720"/>
        <w:jc w:val="both"/>
      </w:pPr>
      <w:r>
        <w:tab/>
        <w:t xml:space="preserve">       ● All receipts must have the vendor name and contact information printed on them. </w:t>
      </w:r>
    </w:p>
    <w:p w14:paraId="0D861DBC" w14:textId="77777777" w:rsidR="00732540" w:rsidRDefault="002236E6">
      <w:pPr>
        <w:spacing w:after="0"/>
        <w:ind w:firstLine="720"/>
        <w:jc w:val="both"/>
      </w:pPr>
      <w:r>
        <w:t xml:space="preserve">       ● At restaurants, travelers should request to keep the detailed receipt of what was ordered. </w:t>
      </w:r>
    </w:p>
    <w:p w14:paraId="6D2F6B2B" w14:textId="77777777" w:rsidR="00732540" w:rsidRDefault="002236E6">
      <w:pPr>
        <w:spacing w:after="0"/>
        <w:ind w:left="1440"/>
        <w:jc w:val="both"/>
      </w:pPr>
      <w:r>
        <w:t xml:space="preserve">◦ If a detailed receipt isn’t received, the traveler must verify that no alcohol was purchased by writing “no alcohol” on the receipt and signing it. </w:t>
      </w:r>
    </w:p>
    <w:p w14:paraId="4F2F4176" w14:textId="77777777" w:rsidR="00732540" w:rsidRDefault="002236E6">
      <w:pPr>
        <w:spacing w:after="0"/>
        <w:ind w:firstLine="720"/>
        <w:jc w:val="both"/>
      </w:pPr>
      <w:r>
        <w:t xml:space="preserve">       ● Receipts should include the method of payment (including last 4 digits of any credit card used).</w:t>
      </w:r>
    </w:p>
    <w:p w14:paraId="62EF3AFC" w14:textId="77777777" w:rsidR="00732540" w:rsidRDefault="00977203">
      <w:pPr>
        <w:spacing w:after="0"/>
        <w:jc w:val="both"/>
      </w:pPr>
      <w:sdt>
        <w:sdtPr>
          <w:rPr>
            <w:rFonts w:eastAsia="MS Gothic"/>
          </w:rPr>
          <w:id w:val="-637885356"/>
          <w14:checkbox>
            <w14:checked w14:val="0"/>
            <w14:checkedState w14:val="2612" w14:font="MS Gothic"/>
            <w14:uncheckedState w14:val="2610" w14:font="MS Gothic"/>
          </w14:checkbox>
        </w:sdtPr>
        <w:sdtEndPr/>
        <w:sdtContent>
          <w:r w:rsidR="002236E6">
            <w:rPr>
              <w:rFonts w:ascii="Segoe UI Symbol" w:eastAsia="MS Gothic" w:hAnsi="Segoe UI Symbol" w:cs="Segoe UI Symbol"/>
            </w:rPr>
            <w:t>☐</w:t>
          </w:r>
        </w:sdtContent>
      </w:sdt>
      <w:r w:rsidR="002236E6">
        <w:t xml:space="preserve"> </w:t>
      </w:r>
      <w:r w:rsidR="002236E6">
        <w:tab/>
        <w:t xml:space="preserve">Acceptable documents from moving companies are:  </w:t>
      </w:r>
    </w:p>
    <w:p w14:paraId="0EB6BDB3" w14:textId="77777777" w:rsidR="00732540" w:rsidRDefault="002236E6">
      <w:pPr>
        <w:spacing w:after="0"/>
        <w:ind w:left="1155"/>
        <w:jc w:val="both"/>
      </w:pPr>
      <w:r>
        <w:t>●</w:t>
      </w:r>
      <w:r>
        <w:rPr>
          <w:b/>
        </w:rPr>
        <w:t xml:space="preserve"> Detailed invoices</w:t>
      </w:r>
      <w:r>
        <w:t xml:space="preserve"> with the company/individual’s name and contact information and showing a </w:t>
      </w:r>
      <w:r>
        <w:rPr>
          <w:b/>
        </w:rPr>
        <w:t>zero-balance due</w:t>
      </w:r>
      <w:r>
        <w:t>, or</w:t>
      </w:r>
    </w:p>
    <w:p w14:paraId="139841F0" w14:textId="77777777" w:rsidR="00732540" w:rsidRDefault="002236E6">
      <w:pPr>
        <w:spacing w:after="120"/>
        <w:ind w:firstLine="720"/>
        <w:jc w:val="both"/>
      </w:pPr>
      <w:r>
        <w:t xml:space="preserve">       ● Receipts showing payment in full. </w:t>
      </w:r>
    </w:p>
    <w:p w14:paraId="532659B8" w14:textId="77777777" w:rsidR="00732540" w:rsidRDefault="002236E6">
      <w:pPr>
        <w:spacing w:after="0"/>
        <w:jc w:val="both"/>
      </w:pPr>
      <w:r>
        <w:rPr>
          <w:b/>
          <w:sz w:val="32"/>
          <w:szCs w:val="32"/>
        </w:rPr>
        <w:t>Taxation</w:t>
      </w:r>
    </w:p>
    <w:p w14:paraId="014CD744" w14:textId="77777777" w:rsidR="00732540" w:rsidRDefault="002236E6">
      <w:pPr>
        <w:spacing w:after="0"/>
        <w:ind w:left="720"/>
      </w:pPr>
      <w:r>
        <w:t xml:space="preserve">Per </w:t>
      </w:r>
      <w:hyperlink r:id="rId10" w:history="1">
        <w:r>
          <w:rPr>
            <w:rStyle w:val="Hyperlink"/>
          </w:rPr>
          <w:t>IRS Publication 521</w:t>
        </w:r>
      </w:hyperlink>
      <w:r>
        <w:rPr>
          <w:rStyle w:val="Hyperlink"/>
          <w:color w:val="auto"/>
          <w:u w:val="none"/>
        </w:rPr>
        <w:t xml:space="preserve">, </w:t>
      </w:r>
      <w:r>
        <w:t xml:space="preserve">moving and relocation expenses are subject to Federal Income Tax and will be reported to the State Controller’s Office for inclusion on the employee’s W-2 for the calendar year the employee was reimbursed for the expense(s). </w:t>
      </w:r>
    </w:p>
    <w:p w14:paraId="7BEB02FF" w14:textId="77777777" w:rsidR="00732540" w:rsidRDefault="00732540">
      <w:pPr>
        <w:spacing w:after="0"/>
        <w:ind w:left="720"/>
      </w:pPr>
    </w:p>
    <w:p w14:paraId="01DEF2CB" w14:textId="77777777" w:rsidR="00732540" w:rsidRDefault="002236E6">
      <w:pPr>
        <w:spacing w:after="0"/>
        <w:jc w:val="both"/>
        <w:rPr>
          <w:b/>
          <w:sz w:val="32"/>
          <w:szCs w:val="32"/>
        </w:rPr>
      </w:pPr>
      <w:r>
        <w:rPr>
          <w:b/>
          <w:sz w:val="32"/>
          <w:szCs w:val="32"/>
        </w:rPr>
        <w:t>Policies and Procedures</w:t>
      </w:r>
    </w:p>
    <w:p w14:paraId="61150207" w14:textId="77777777" w:rsidR="00732540" w:rsidRDefault="002236E6">
      <w:pPr>
        <w:spacing w:after="120"/>
        <w:jc w:val="both"/>
        <w:rPr>
          <w:b/>
          <w:u w:val="single"/>
        </w:rPr>
      </w:pPr>
      <w:r>
        <w:t xml:space="preserve">This checklist is meant to be an aid and is not a complete list of procedures to be followed. Reimbursement will be paid based on the following documents located at </w:t>
      </w:r>
      <w:hyperlink r:id="rId11" w:history="1">
        <w:r>
          <w:rPr>
            <w:rStyle w:val="Hyperlink"/>
          </w:rPr>
          <w:t>https://www.csub.edu/bas/paymentservices/Policies/index.html</w:t>
        </w:r>
      </w:hyperlink>
      <w:r>
        <w:t xml:space="preserve">. </w:t>
      </w:r>
    </w:p>
    <w:p w14:paraId="7DFBADCB" w14:textId="77777777" w:rsidR="00732540" w:rsidRDefault="002236E6">
      <w:pPr>
        <w:pStyle w:val="ListParagraph"/>
        <w:numPr>
          <w:ilvl w:val="0"/>
          <w:numId w:val="12"/>
        </w:numPr>
        <w:spacing w:after="0"/>
        <w:jc w:val="both"/>
        <w:rPr>
          <w:rStyle w:val="Hyperlink"/>
        </w:rPr>
      </w:pPr>
      <w:r>
        <w:fldChar w:fldCharType="begin"/>
      </w:r>
      <w:r>
        <w:instrText>HYPERLINK "https://www.csub.edu/bas/paymentservices/_files/csu_hr_technical_letter.pdf"</w:instrText>
      </w:r>
      <w:r>
        <w:fldChar w:fldCharType="separate"/>
      </w:r>
      <w:r>
        <w:rPr>
          <w:rStyle w:val="Hyperlink"/>
        </w:rPr>
        <w:t xml:space="preserve">HR Policy 2018-07 </w:t>
      </w:r>
    </w:p>
    <w:p w14:paraId="3B474121" w14:textId="77777777" w:rsidR="00732540" w:rsidRDefault="002236E6">
      <w:pPr>
        <w:pStyle w:val="ListParagraph"/>
        <w:numPr>
          <w:ilvl w:val="0"/>
          <w:numId w:val="12"/>
        </w:numPr>
        <w:spacing w:after="0"/>
        <w:jc w:val="both"/>
      </w:pPr>
      <w:r>
        <w:fldChar w:fldCharType="end"/>
      </w:r>
      <w:hyperlink r:id="rId12" w:history="1">
        <w:r>
          <w:rPr>
            <w:rStyle w:val="Hyperlink"/>
          </w:rPr>
          <w:t>CSUB Moving and Relocation Policy</w:t>
        </w:r>
      </w:hyperlink>
      <w:r>
        <w:t xml:space="preserve"> </w:t>
      </w:r>
    </w:p>
    <w:p w14:paraId="379A568C" w14:textId="77777777" w:rsidR="00732540" w:rsidRDefault="002236E6">
      <w:pPr>
        <w:pStyle w:val="ListParagraph"/>
        <w:numPr>
          <w:ilvl w:val="0"/>
          <w:numId w:val="12"/>
        </w:numPr>
        <w:jc w:val="both"/>
      </w:pPr>
      <w:r>
        <w:t>The travel portion of the relocation follows the</w:t>
      </w:r>
      <w:r>
        <w:rPr>
          <w:rStyle w:val="Hyperlink"/>
          <w:u w:val="none"/>
        </w:rPr>
        <w:t xml:space="preserve"> </w:t>
      </w:r>
      <w:bookmarkStart w:id="1" w:name="_Hlk21677261"/>
      <w:r>
        <w:fldChar w:fldCharType="begin"/>
      </w:r>
      <w:r>
        <w:instrText>HYPERLINK "http://www.csub.edu/bas/paymentservices/_files/travel_policy.ddtx"</w:instrText>
      </w:r>
      <w:r>
        <w:fldChar w:fldCharType="separate"/>
      </w:r>
      <w:r>
        <w:rPr>
          <w:rStyle w:val="Hyperlink"/>
        </w:rPr>
        <w:t>CSUB Travel Procedures</w:t>
      </w:r>
      <w:r>
        <w:rPr>
          <w:rStyle w:val="Hyperlink"/>
        </w:rPr>
        <w:fldChar w:fldCharType="end"/>
      </w:r>
      <w:r>
        <w:t>.</w:t>
      </w:r>
      <w:bookmarkEnd w:id="1"/>
      <w:r>
        <w:t xml:space="preserve"> </w:t>
      </w:r>
    </w:p>
    <w:p w14:paraId="36F6FE3E" w14:textId="77777777" w:rsidR="00732540" w:rsidRDefault="002236E6">
      <w:pPr>
        <w:spacing w:after="120"/>
        <w:jc w:val="both"/>
      </w:pPr>
      <w:r>
        <w:rPr>
          <w:b/>
          <w:bCs/>
          <w:color w:val="FF0000"/>
        </w:rPr>
        <w:t>***</w:t>
      </w:r>
      <w:r>
        <w:t>If an employee whose moving and relocation expenses have been reimbursed does not continue employment with</w:t>
      </w:r>
      <w:r>
        <w:rPr>
          <w:b/>
        </w:rPr>
        <w:t xml:space="preserve"> </w:t>
      </w:r>
      <w:r>
        <w:t>CSUB for a period of at least two years (unless discontinuance of employment was the result of death, disability or other similar unexpected cause beyond the control of the employee as determined by the employer), the employee shall repay CSUB the following percentage of the amount received for reimbursement for such moving and relocation expenses (including if the employee transfers to another CSU):</w:t>
      </w:r>
    </w:p>
    <w:tbl>
      <w:tblPr>
        <w:tblW w:w="7100" w:type="dxa"/>
        <w:jc w:val="center"/>
        <w:tblLook w:val="04A0" w:firstRow="1" w:lastRow="0" w:firstColumn="1" w:lastColumn="0" w:noHBand="0" w:noVBand="1"/>
      </w:tblPr>
      <w:tblGrid>
        <w:gridCol w:w="4230"/>
        <w:gridCol w:w="2870"/>
      </w:tblGrid>
      <w:tr w:rsidR="00732540" w14:paraId="38C3E9BE" w14:textId="77777777">
        <w:trPr>
          <w:trHeight w:val="261"/>
          <w:jc w:val="center"/>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47201" w14:textId="77777777" w:rsidR="00732540" w:rsidRDefault="002236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Duration of CSUB Employment</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40167644" w14:textId="77777777" w:rsidR="00732540" w:rsidRDefault="002236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Repayment Percentage Due</w:t>
            </w:r>
          </w:p>
        </w:tc>
      </w:tr>
      <w:tr w:rsidR="00732540" w14:paraId="6303618F" w14:textId="77777777">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EEAEC19"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Less than 6 months</w:t>
            </w:r>
          </w:p>
        </w:tc>
        <w:tc>
          <w:tcPr>
            <w:tcW w:w="2870" w:type="dxa"/>
            <w:tcBorders>
              <w:top w:val="nil"/>
              <w:left w:val="nil"/>
              <w:bottom w:val="single" w:sz="4" w:space="0" w:color="auto"/>
              <w:right w:val="single" w:sz="4" w:space="0" w:color="auto"/>
            </w:tcBorders>
            <w:shd w:val="clear" w:color="auto" w:fill="auto"/>
            <w:noWrap/>
            <w:vAlign w:val="bottom"/>
            <w:hideMark/>
          </w:tcPr>
          <w:p w14:paraId="25705F43"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732540" w14:paraId="2968B04B" w14:textId="77777777">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13C28B16"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6 months but less than 12 months</w:t>
            </w:r>
          </w:p>
        </w:tc>
        <w:tc>
          <w:tcPr>
            <w:tcW w:w="2870" w:type="dxa"/>
            <w:tcBorders>
              <w:top w:val="nil"/>
              <w:left w:val="nil"/>
              <w:bottom w:val="single" w:sz="4" w:space="0" w:color="auto"/>
              <w:right w:val="single" w:sz="4" w:space="0" w:color="auto"/>
            </w:tcBorders>
            <w:shd w:val="clear" w:color="auto" w:fill="auto"/>
            <w:noWrap/>
            <w:vAlign w:val="bottom"/>
            <w:hideMark/>
          </w:tcPr>
          <w:p w14:paraId="295E8031"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p>
        </w:tc>
      </w:tr>
      <w:tr w:rsidR="00732540" w14:paraId="4ECF3027" w14:textId="77777777">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303FF494"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12 months but less than 18 months</w:t>
            </w:r>
          </w:p>
        </w:tc>
        <w:tc>
          <w:tcPr>
            <w:tcW w:w="2870" w:type="dxa"/>
            <w:tcBorders>
              <w:top w:val="nil"/>
              <w:left w:val="nil"/>
              <w:bottom w:val="single" w:sz="4" w:space="0" w:color="auto"/>
              <w:right w:val="single" w:sz="4" w:space="0" w:color="auto"/>
            </w:tcBorders>
            <w:shd w:val="clear" w:color="auto" w:fill="auto"/>
            <w:noWrap/>
            <w:vAlign w:val="bottom"/>
            <w:hideMark/>
          </w:tcPr>
          <w:p w14:paraId="2096A89C"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r>
      <w:tr w:rsidR="00732540" w14:paraId="1A201E7C" w14:textId="77777777">
        <w:trPr>
          <w:trHeight w:val="261"/>
          <w:jc w:val="center"/>
        </w:trPr>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7D772CF1"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At least 18 months but less than 24 months</w:t>
            </w:r>
          </w:p>
        </w:tc>
        <w:tc>
          <w:tcPr>
            <w:tcW w:w="2870" w:type="dxa"/>
            <w:tcBorders>
              <w:top w:val="nil"/>
              <w:left w:val="nil"/>
              <w:bottom w:val="single" w:sz="4" w:space="0" w:color="auto"/>
              <w:right w:val="single" w:sz="4" w:space="0" w:color="auto"/>
            </w:tcBorders>
            <w:shd w:val="clear" w:color="auto" w:fill="auto"/>
            <w:noWrap/>
            <w:vAlign w:val="bottom"/>
            <w:hideMark/>
          </w:tcPr>
          <w:p w14:paraId="60042584" w14:textId="77777777" w:rsidR="00732540" w:rsidRDefault="002236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bl>
    <w:p w14:paraId="5D3E333E" w14:textId="77777777" w:rsidR="00732540" w:rsidRDefault="00732540">
      <w:pPr>
        <w:spacing w:after="0"/>
        <w:jc w:val="both"/>
      </w:pPr>
    </w:p>
    <w:p w14:paraId="3640B434" w14:textId="77777777" w:rsidR="00732540" w:rsidRDefault="002236E6">
      <w:pPr>
        <w:spacing w:after="0"/>
        <w:jc w:val="both"/>
      </w:pPr>
      <w:bookmarkStart w:id="2" w:name="_Hlk535933274"/>
      <w:r>
        <w:rPr>
          <w:b/>
          <w:sz w:val="32"/>
          <w:szCs w:val="32"/>
        </w:rPr>
        <w:t>Questions?</w:t>
      </w:r>
    </w:p>
    <w:p w14:paraId="6B4E1132" w14:textId="77777777" w:rsidR="00732540" w:rsidRDefault="002236E6">
      <w:pPr>
        <w:spacing w:after="0"/>
        <w:jc w:val="both"/>
      </w:pPr>
      <w:r>
        <w:t>If you have any questions about moving and relocation, please contact:</w:t>
      </w:r>
    </w:p>
    <w:p w14:paraId="2CF690FE" w14:textId="77777777" w:rsidR="00732540" w:rsidRDefault="002236E6">
      <w:pPr>
        <w:pStyle w:val="ListParagraph"/>
        <w:numPr>
          <w:ilvl w:val="0"/>
          <w:numId w:val="11"/>
        </w:numPr>
        <w:spacing w:after="0"/>
        <w:jc w:val="both"/>
      </w:pPr>
      <w:r>
        <w:t>The administrative contact provided by your hiring department.</w:t>
      </w:r>
    </w:p>
    <w:p w14:paraId="78B226F3" w14:textId="109FBC00" w:rsidR="00732540" w:rsidRDefault="002236E6" w:rsidP="00F30C39">
      <w:pPr>
        <w:pStyle w:val="ListParagraph"/>
        <w:numPr>
          <w:ilvl w:val="0"/>
          <w:numId w:val="11"/>
        </w:numPr>
        <w:spacing w:after="0"/>
        <w:jc w:val="both"/>
      </w:pPr>
      <w:r>
        <w:t xml:space="preserve">Payment Services. Note: we can help with questions about what is and isn’t reimbursable but will not know any details of your offer. </w:t>
      </w:r>
      <w:bookmarkEnd w:id="2"/>
      <w:r w:rsidR="00F30C39">
        <w:t xml:space="preserve"> </w:t>
      </w:r>
      <w:hyperlink r:id="rId13" w:history="1">
        <w:r w:rsidR="00F30C39" w:rsidRPr="00F4047B">
          <w:rPr>
            <w:rStyle w:val="Hyperlink"/>
          </w:rPr>
          <w:t>accounts_payable@csub.edu</w:t>
        </w:r>
      </w:hyperlink>
      <w:r w:rsidR="00F30C39">
        <w:t xml:space="preserve"> </w:t>
      </w:r>
      <w:r>
        <w:t xml:space="preserve"> </w:t>
      </w:r>
    </w:p>
    <w:sectPr w:rsidR="00732540">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9924" w14:textId="77777777" w:rsidR="00B86CAB" w:rsidRDefault="00B86CAB">
      <w:pPr>
        <w:spacing w:after="0" w:line="240" w:lineRule="auto"/>
      </w:pPr>
      <w:r>
        <w:separator/>
      </w:r>
    </w:p>
  </w:endnote>
  <w:endnote w:type="continuationSeparator" w:id="0">
    <w:p w14:paraId="6850A5B2" w14:textId="77777777" w:rsidR="00B86CAB" w:rsidRDefault="00B8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778453"/>
      <w:docPartObj>
        <w:docPartGallery w:val="Page Numbers (Bottom of Page)"/>
        <w:docPartUnique/>
      </w:docPartObj>
    </w:sdtPr>
    <w:sdtEndPr>
      <w:rPr>
        <w:color w:val="7F7F7F" w:themeColor="background1" w:themeShade="7F"/>
        <w:spacing w:val="60"/>
      </w:rPr>
    </w:sdtEndPr>
    <w:sdtContent>
      <w:p w14:paraId="3FF4D85A" w14:textId="77777777" w:rsidR="00732540" w:rsidRDefault="002236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1CBB5B" w14:textId="7C3D54C5" w:rsidR="00732540" w:rsidRDefault="00F54540">
    <w:pPr>
      <w:pStyle w:val="Footer"/>
    </w:pPr>
    <w:r>
      <w:t>May 2024</w:t>
    </w:r>
    <w:r w:rsidR="002236E6">
      <w:t xml:space="preserve"> – Payment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3827" w14:textId="77777777" w:rsidR="00B86CAB" w:rsidRDefault="00B86CAB">
      <w:pPr>
        <w:spacing w:after="0" w:line="240" w:lineRule="auto"/>
      </w:pPr>
      <w:r>
        <w:separator/>
      </w:r>
    </w:p>
  </w:footnote>
  <w:footnote w:type="continuationSeparator" w:id="0">
    <w:p w14:paraId="291457AE" w14:textId="77777777" w:rsidR="00B86CAB" w:rsidRDefault="00B86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399"/>
    <w:multiLevelType w:val="hybridMultilevel"/>
    <w:tmpl w:val="AF585908"/>
    <w:lvl w:ilvl="0" w:tplc="A2C85F90">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41F1"/>
    <w:multiLevelType w:val="hybridMultilevel"/>
    <w:tmpl w:val="844E0ECE"/>
    <w:lvl w:ilvl="0" w:tplc="2692113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2D67"/>
    <w:multiLevelType w:val="hybridMultilevel"/>
    <w:tmpl w:val="1386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C58F6"/>
    <w:multiLevelType w:val="hybridMultilevel"/>
    <w:tmpl w:val="328A36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4FBC6A68">
      <w:start w:val="1"/>
      <w:numFmt w:val="lowerLetter"/>
      <w:lvlText w:val="%3."/>
      <w:lvlJc w:val="right"/>
      <w:pPr>
        <w:ind w:left="1800" w:hanging="180"/>
      </w:pPr>
      <w:rPr>
        <w:rFonts w:asciiTheme="minorHAnsi" w:eastAsiaTheme="minorHAnsi"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E17EB"/>
    <w:multiLevelType w:val="hybridMultilevel"/>
    <w:tmpl w:val="542A3294"/>
    <w:lvl w:ilvl="0" w:tplc="07DCD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003029"/>
    <w:multiLevelType w:val="hybridMultilevel"/>
    <w:tmpl w:val="7DE676BC"/>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C31C3"/>
    <w:multiLevelType w:val="multilevel"/>
    <w:tmpl w:val="0FF6B532"/>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C69CF"/>
    <w:multiLevelType w:val="hybridMultilevel"/>
    <w:tmpl w:val="2E9ECDE6"/>
    <w:lvl w:ilvl="0" w:tplc="C35C4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B31A8"/>
    <w:multiLevelType w:val="multilevel"/>
    <w:tmpl w:val="91C827F4"/>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592CDD"/>
    <w:multiLevelType w:val="hybridMultilevel"/>
    <w:tmpl w:val="701A0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C362F"/>
    <w:multiLevelType w:val="hybridMultilevel"/>
    <w:tmpl w:val="42BEF7CE"/>
    <w:lvl w:ilvl="0" w:tplc="E2E4DE72">
      <w:start w:val="6"/>
      <w:numFmt w:val="upperRoman"/>
      <w:lvlText w:val="%1."/>
      <w:lvlJc w:val="left"/>
      <w:pPr>
        <w:ind w:left="1080" w:hanging="720"/>
      </w:pPr>
      <w:rPr>
        <w:rFonts w:hint="default"/>
        <w:b/>
      </w:rPr>
    </w:lvl>
    <w:lvl w:ilvl="1" w:tplc="504A77F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F5710"/>
    <w:multiLevelType w:val="hybridMultilevel"/>
    <w:tmpl w:val="CD027CA0"/>
    <w:lvl w:ilvl="0" w:tplc="91F84A96">
      <w:start w:val="1"/>
      <w:numFmt w:val="low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C56E2"/>
    <w:multiLevelType w:val="hybridMultilevel"/>
    <w:tmpl w:val="3A7AA688"/>
    <w:lvl w:ilvl="0" w:tplc="42BCA53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97255">
    <w:abstractNumId w:val="3"/>
  </w:num>
  <w:num w:numId="2" w16cid:durableId="603268010">
    <w:abstractNumId w:val="7"/>
  </w:num>
  <w:num w:numId="3" w16cid:durableId="2114587858">
    <w:abstractNumId w:val="10"/>
  </w:num>
  <w:num w:numId="4" w16cid:durableId="1017347429">
    <w:abstractNumId w:val="4"/>
  </w:num>
  <w:num w:numId="5" w16cid:durableId="663095536">
    <w:abstractNumId w:val="6"/>
  </w:num>
  <w:num w:numId="6" w16cid:durableId="1566837027">
    <w:abstractNumId w:val="11"/>
  </w:num>
  <w:num w:numId="7" w16cid:durableId="1051416633">
    <w:abstractNumId w:val="8"/>
  </w:num>
  <w:num w:numId="8" w16cid:durableId="655377197">
    <w:abstractNumId w:val="1"/>
  </w:num>
  <w:num w:numId="9" w16cid:durableId="481774673">
    <w:abstractNumId w:val="0"/>
  </w:num>
  <w:num w:numId="10" w16cid:durableId="1395153879">
    <w:abstractNumId w:val="9"/>
  </w:num>
  <w:num w:numId="11" w16cid:durableId="2144421938">
    <w:abstractNumId w:val="12"/>
  </w:num>
  <w:num w:numId="12" w16cid:durableId="1407460850">
    <w:abstractNumId w:val="2"/>
  </w:num>
  <w:num w:numId="13" w16cid:durableId="1932661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0"/>
    <w:rsid w:val="002236E6"/>
    <w:rsid w:val="003C175D"/>
    <w:rsid w:val="00433587"/>
    <w:rsid w:val="00522921"/>
    <w:rsid w:val="00732540"/>
    <w:rsid w:val="00977203"/>
    <w:rsid w:val="00B86CAB"/>
    <w:rsid w:val="00E07C15"/>
    <w:rsid w:val="00E70D1E"/>
    <w:rsid w:val="00F30C39"/>
    <w:rsid w:val="00F5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8CF3"/>
  <w15:chartTrackingRefBased/>
  <w15:docId w15:val="{294E32D5-F0F3-42F1-9215-2240D972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sid w:val="0052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9464">
      <w:bodyDiv w:val="1"/>
      <w:marLeft w:val="0"/>
      <w:marRight w:val="0"/>
      <w:marTop w:val="0"/>
      <w:marBottom w:val="0"/>
      <w:divBdr>
        <w:top w:val="none" w:sz="0" w:space="0" w:color="auto"/>
        <w:left w:val="none" w:sz="0" w:space="0" w:color="auto"/>
        <w:bottom w:val="none" w:sz="0" w:space="0" w:color="auto"/>
        <w:right w:val="none" w:sz="0" w:space="0" w:color="auto"/>
      </w:divBdr>
    </w:div>
    <w:div w:id="9276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counts_payable@csu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b.edu/bas/paymentservices/_files/moving_and_relocation_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b.edu/bas/paymentservices/Polici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publications/p521" TargetMode="Externa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4DDD-999D-47A3-A4DE-CD8BB903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4484</Characters>
  <Application>Microsoft Office Word</Application>
  <DocSecurity>0</DocSecurity>
  <Lines>97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Lappin</dc:creator>
  <cp:keywords/>
  <dc:description/>
  <cp:lastModifiedBy>Becky Lappin</cp:lastModifiedBy>
  <cp:revision>2</cp:revision>
  <cp:lastPrinted>2019-08-14T17:54:00Z</cp:lastPrinted>
  <dcterms:created xsi:type="dcterms:W3CDTF">2024-05-16T20:58:00Z</dcterms:created>
  <dcterms:modified xsi:type="dcterms:W3CDTF">2024-05-16T20:58:00Z</dcterms:modified>
</cp:coreProperties>
</file>